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360" w:lineRule="auto"/>
        <w:jc w:val="center"/>
        <w:textAlignment w:val="auto"/>
        <w:rPr>
          <w:rFonts w:ascii="黑体" w:hAnsi="黑体" w:eastAsia="黑体"/>
          <w:b/>
          <w:color w:val="000000"/>
          <w:sz w:val="32"/>
          <w:szCs w:val="32"/>
        </w:rPr>
      </w:pPr>
      <w:bookmarkStart w:id="0" w:name="_Toc452274322"/>
      <w:r>
        <w:rPr>
          <w:rFonts w:ascii="黑体" w:hAnsi="黑体" w:eastAsia="黑体"/>
          <w:b/>
          <w:color w:val="000000"/>
          <w:sz w:val="32"/>
          <w:szCs w:val="32"/>
        </w:rPr>
        <w:t>地理与资源学院20</w:t>
      </w:r>
      <w:r>
        <w:rPr>
          <w:rFonts w:hint="eastAsia" w:ascii="黑体" w:hAnsi="黑体" w:eastAsia="黑体"/>
          <w:b/>
          <w:color w:val="000000"/>
          <w:sz w:val="32"/>
          <w:szCs w:val="32"/>
        </w:rPr>
        <w:t>2</w:t>
      </w:r>
      <w:r>
        <w:rPr>
          <w:rFonts w:hint="eastAsia" w:ascii="黑体" w:hAnsi="黑体" w:eastAsia="黑体"/>
          <w:b/>
          <w:color w:val="000000"/>
          <w:sz w:val="32"/>
          <w:szCs w:val="32"/>
          <w:lang w:val="en-US" w:eastAsia="zh-CN"/>
        </w:rPr>
        <w:t>1</w:t>
      </w:r>
      <w:r>
        <w:rPr>
          <w:rFonts w:ascii="黑体" w:hAnsi="黑体" w:eastAsia="黑体"/>
          <w:b/>
          <w:color w:val="000000"/>
          <w:sz w:val="32"/>
          <w:szCs w:val="32"/>
        </w:rPr>
        <w:t>年普通高等教育</w:t>
      </w:r>
    </w:p>
    <w:p>
      <w:pPr>
        <w:keepNext w:val="0"/>
        <w:keepLines w:val="0"/>
        <w:pageBreakBefore w:val="0"/>
        <w:kinsoku/>
        <w:wordWrap/>
        <w:overflowPunct/>
        <w:topLinePunct w:val="0"/>
        <w:autoSpaceDE/>
        <w:autoSpaceDN/>
        <w:bidi w:val="0"/>
        <w:adjustRightInd/>
        <w:snapToGrid/>
        <w:spacing w:line="360" w:lineRule="auto"/>
        <w:jc w:val="center"/>
        <w:textAlignment w:val="auto"/>
        <w:rPr>
          <w:rFonts w:ascii="黑体" w:hAnsi="黑体" w:eastAsia="黑体"/>
          <w:b/>
          <w:color w:val="000000"/>
          <w:sz w:val="30"/>
          <w:szCs w:val="30"/>
        </w:rPr>
      </w:pPr>
      <w:r>
        <w:rPr>
          <w:rFonts w:hint="eastAsia" w:ascii="黑体" w:hAnsi="黑体" w:eastAsia="黑体"/>
          <w:b/>
          <w:color w:val="000000"/>
          <w:sz w:val="32"/>
          <w:szCs w:val="32"/>
        </w:rPr>
        <w:t>本科</w:t>
      </w:r>
      <w:r>
        <w:rPr>
          <w:rFonts w:ascii="黑体" w:hAnsi="黑体" w:eastAsia="黑体"/>
          <w:b/>
          <w:color w:val="000000"/>
          <w:sz w:val="32"/>
          <w:szCs w:val="32"/>
        </w:rPr>
        <w:t>学生转专业实施方案</w:t>
      </w:r>
      <w:bookmarkEnd w:id="0"/>
    </w:p>
    <w:p>
      <w:pPr>
        <w:keepNext w:val="0"/>
        <w:keepLines w:val="0"/>
        <w:pageBreakBefore w:val="0"/>
        <w:kinsoku/>
        <w:wordWrap/>
        <w:overflowPunct/>
        <w:topLinePunct w:val="0"/>
        <w:autoSpaceDE/>
        <w:autoSpaceDN/>
        <w:bidi w:val="0"/>
        <w:adjustRightInd/>
        <w:snapToGrid/>
        <w:spacing w:line="360" w:lineRule="auto"/>
        <w:jc w:val="center"/>
        <w:textAlignment w:val="auto"/>
        <w:rPr>
          <w:rFonts w:ascii="Times New Roman" w:hAnsi="Times New Roman"/>
          <w:b/>
          <w:color w:val="000000"/>
          <w:sz w:val="44"/>
          <w:szCs w:val="44"/>
        </w:rPr>
      </w:pPr>
    </w:p>
    <w:p>
      <w:pPr>
        <w:keepNext w:val="0"/>
        <w:keepLines w:val="0"/>
        <w:pageBreakBefore w:val="0"/>
        <w:kinsoku/>
        <w:wordWrap/>
        <w:overflowPunct/>
        <w:topLinePunct w:val="0"/>
        <w:autoSpaceDE/>
        <w:autoSpaceDN/>
        <w:bidi w:val="0"/>
        <w:adjustRightInd/>
        <w:snapToGrid/>
        <w:spacing w:line="360" w:lineRule="auto"/>
        <w:ind w:firstLine="560" w:firstLineChars="200"/>
        <w:jc w:val="left"/>
        <w:textAlignment w:val="auto"/>
        <w:rPr>
          <w:rFonts w:ascii="仿宋" w:hAnsi="仿宋" w:eastAsia="仿宋" w:cs="仿宋"/>
          <w:kern w:val="0"/>
          <w:sz w:val="28"/>
          <w:szCs w:val="28"/>
        </w:rPr>
      </w:pPr>
      <w:r>
        <w:rPr>
          <w:rFonts w:hint="eastAsia" w:ascii="仿宋" w:hAnsi="仿宋" w:eastAsia="仿宋" w:cs="仿宋"/>
          <w:kern w:val="0"/>
          <w:sz w:val="28"/>
          <w:szCs w:val="28"/>
        </w:rPr>
        <w:t>为确保202</w:t>
      </w:r>
      <w:r>
        <w:rPr>
          <w:rFonts w:hint="eastAsia" w:ascii="仿宋" w:hAnsi="仿宋" w:eastAsia="仿宋" w:cs="仿宋"/>
          <w:kern w:val="0"/>
          <w:sz w:val="28"/>
          <w:szCs w:val="28"/>
          <w:lang w:val="en-US" w:eastAsia="zh-CN"/>
        </w:rPr>
        <w:t>1</w:t>
      </w:r>
      <w:r>
        <w:rPr>
          <w:rFonts w:hint="eastAsia" w:ascii="仿宋" w:hAnsi="仿宋" w:eastAsia="仿宋" w:cs="仿宋"/>
          <w:kern w:val="0"/>
          <w:sz w:val="28"/>
          <w:szCs w:val="28"/>
        </w:rPr>
        <w:t>年普通高等教育学生转专业工作的顺利进行,根据教育部《普通高等学校学生管理规定》和《贵州师范学院学生管理规定》、《贵州师范学院普通高等教育学生转专业实施细则（修订）》、《关于做好202</w:t>
      </w:r>
      <w:r>
        <w:rPr>
          <w:rFonts w:hint="eastAsia" w:ascii="仿宋" w:hAnsi="仿宋" w:eastAsia="仿宋" w:cs="仿宋"/>
          <w:kern w:val="0"/>
          <w:sz w:val="28"/>
          <w:szCs w:val="28"/>
          <w:lang w:val="en-US" w:eastAsia="zh-CN"/>
        </w:rPr>
        <w:t>1</w:t>
      </w:r>
      <w:r>
        <w:rPr>
          <w:rFonts w:hint="eastAsia" w:ascii="仿宋" w:hAnsi="仿宋" w:eastAsia="仿宋" w:cs="仿宋"/>
          <w:kern w:val="0"/>
          <w:sz w:val="28"/>
          <w:szCs w:val="28"/>
        </w:rPr>
        <w:t xml:space="preserve">年普通高等教育学生转专业工作的通知》等文件精神和相关规定，结合学院实际情况，特制定本方案。 </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2" w:firstLineChars="200"/>
        <w:textAlignment w:val="auto"/>
        <w:rPr>
          <w:rFonts w:ascii="仿宋" w:hAnsi="仿宋" w:eastAsia="仿宋" w:cs="仿宋"/>
          <w:b/>
          <w:color w:val="333333"/>
          <w:sz w:val="28"/>
          <w:szCs w:val="28"/>
        </w:rPr>
      </w:pPr>
      <w:r>
        <w:rPr>
          <w:rFonts w:hint="eastAsia" w:ascii="仿宋" w:hAnsi="仿宋" w:eastAsia="仿宋" w:cs="仿宋"/>
          <w:b/>
          <w:color w:val="333333"/>
          <w:sz w:val="28"/>
          <w:szCs w:val="28"/>
        </w:rPr>
        <w:t>一、组织领导</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textAlignment w:val="auto"/>
        <w:rPr>
          <w:rFonts w:ascii="仿宋" w:hAnsi="仿宋" w:eastAsia="仿宋" w:cs="仿宋"/>
          <w:color w:val="333333"/>
          <w:sz w:val="28"/>
          <w:szCs w:val="28"/>
        </w:rPr>
      </w:pPr>
      <w:r>
        <w:rPr>
          <w:rFonts w:hint="eastAsia" w:ascii="仿宋" w:hAnsi="仿宋" w:eastAsia="仿宋" w:cs="仿宋"/>
          <w:color w:val="333333"/>
          <w:sz w:val="28"/>
          <w:szCs w:val="28"/>
        </w:rPr>
        <w:t>学院成立转专业工作小组，负责学院的转专业工作。</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textAlignment w:val="auto"/>
        <w:rPr>
          <w:rFonts w:hint="default" w:ascii="仿宋" w:hAnsi="仿宋" w:eastAsia="仿宋" w:cs="仿宋"/>
          <w:color w:val="333333"/>
          <w:sz w:val="28"/>
          <w:szCs w:val="28"/>
          <w:lang w:val="en-US" w:eastAsia="zh-CN"/>
        </w:rPr>
      </w:pPr>
      <w:r>
        <w:rPr>
          <w:rFonts w:hint="eastAsia" w:ascii="仿宋" w:hAnsi="仿宋" w:eastAsia="仿宋" w:cs="仿宋"/>
          <w:color w:val="333333"/>
          <w:sz w:val="28"/>
          <w:szCs w:val="28"/>
        </w:rPr>
        <w:t>组  长：吴亚平</w:t>
      </w:r>
      <w:r>
        <w:rPr>
          <w:rFonts w:hint="eastAsia" w:ascii="仿宋" w:hAnsi="仿宋" w:eastAsia="仿宋" w:cs="仿宋"/>
          <w:color w:val="333333"/>
          <w:sz w:val="28"/>
          <w:szCs w:val="28"/>
          <w:lang w:val="en-US" w:eastAsia="zh-CN"/>
        </w:rPr>
        <w:t xml:space="preserve"> 罗绪强（外出学习期间由罗光杰代理）</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textAlignment w:val="auto"/>
        <w:rPr>
          <w:rFonts w:ascii="仿宋" w:hAnsi="仿宋" w:eastAsia="仿宋" w:cs="仿宋"/>
          <w:color w:val="333333"/>
          <w:sz w:val="28"/>
          <w:szCs w:val="28"/>
        </w:rPr>
      </w:pPr>
      <w:r>
        <w:rPr>
          <w:rFonts w:hint="eastAsia" w:ascii="仿宋" w:hAnsi="仿宋" w:eastAsia="仿宋" w:cs="仿宋"/>
          <w:color w:val="333333"/>
          <w:sz w:val="28"/>
          <w:szCs w:val="28"/>
        </w:rPr>
        <w:t>副组长：罗光杰</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jc w:val="distribute"/>
        <w:textAlignment w:val="auto"/>
        <w:rPr>
          <w:rFonts w:hint="eastAsia" w:ascii="仿宋" w:hAnsi="仿宋" w:eastAsia="仿宋" w:cs="仿宋"/>
          <w:color w:val="333333"/>
          <w:sz w:val="28"/>
          <w:szCs w:val="28"/>
          <w:lang w:val="en-US" w:eastAsia="zh-CN"/>
        </w:rPr>
      </w:pPr>
      <w:r>
        <w:rPr>
          <w:rFonts w:hint="eastAsia" w:ascii="仿宋" w:hAnsi="仿宋" w:eastAsia="仿宋" w:cs="仿宋"/>
          <w:color w:val="333333"/>
          <w:sz w:val="28"/>
          <w:szCs w:val="28"/>
        </w:rPr>
        <w:t xml:space="preserve">成  员：邓家彬 </w:t>
      </w:r>
      <w:r>
        <w:rPr>
          <w:rFonts w:hint="eastAsia" w:ascii="仿宋" w:hAnsi="仿宋" w:eastAsia="仿宋" w:cs="仿宋"/>
          <w:color w:val="333333"/>
          <w:sz w:val="28"/>
          <w:szCs w:val="28"/>
          <w:lang w:val="en-US" w:eastAsia="zh-CN"/>
        </w:rPr>
        <w:t xml:space="preserve">王朋辉 樊云龙 张伟 周光红 白易 刘蕊 </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1960" w:firstLineChars="700"/>
        <w:textAlignment w:val="auto"/>
        <w:rPr>
          <w:rFonts w:hint="eastAsia" w:ascii="仿宋" w:hAnsi="仿宋" w:eastAsia="仿宋" w:cs="仿宋"/>
          <w:b/>
          <w:color w:val="333333"/>
          <w:sz w:val="28"/>
          <w:szCs w:val="28"/>
          <w:lang w:val="en-US" w:eastAsia="zh-CN"/>
        </w:rPr>
      </w:pPr>
      <w:r>
        <w:rPr>
          <w:rFonts w:hint="eastAsia" w:ascii="仿宋" w:hAnsi="仿宋" w:eastAsia="仿宋" w:cs="仿宋"/>
          <w:color w:val="333333"/>
          <w:sz w:val="28"/>
          <w:szCs w:val="28"/>
          <w:lang w:val="en-US" w:eastAsia="zh-CN"/>
        </w:rPr>
        <w:t>舒官婵</w:t>
      </w:r>
      <w:r>
        <w:rPr>
          <w:rFonts w:hint="eastAsia" w:ascii="仿宋" w:hAnsi="仿宋" w:eastAsia="仿宋" w:cs="仿宋"/>
          <w:color w:val="333333"/>
          <w:sz w:val="28"/>
          <w:szCs w:val="28"/>
        </w:rPr>
        <w:t xml:space="preserve"> </w:t>
      </w:r>
      <w:r>
        <w:rPr>
          <w:rFonts w:hint="eastAsia" w:ascii="仿宋" w:hAnsi="仿宋" w:eastAsia="仿宋" w:cs="仿宋"/>
          <w:color w:val="333333"/>
          <w:sz w:val="28"/>
          <w:szCs w:val="28"/>
          <w:lang w:val="en-US" w:eastAsia="zh-CN"/>
        </w:rPr>
        <w:t>况江 赵志猛 林丽</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textAlignment w:val="auto"/>
        <w:rPr>
          <w:rFonts w:ascii="仿宋" w:hAnsi="仿宋" w:eastAsia="仿宋" w:cs="仿宋"/>
          <w:color w:val="333333"/>
          <w:sz w:val="28"/>
          <w:szCs w:val="28"/>
        </w:rPr>
      </w:pPr>
      <w:r>
        <w:rPr>
          <w:rFonts w:hint="eastAsia" w:ascii="仿宋" w:hAnsi="仿宋" w:eastAsia="仿宋" w:cs="仿宋"/>
          <w:color w:val="333333"/>
          <w:sz w:val="28"/>
          <w:szCs w:val="28"/>
        </w:rPr>
        <w:t>领导小组下设办公室，办公室主任由</w:t>
      </w:r>
      <w:r>
        <w:rPr>
          <w:rFonts w:hint="eastAsia" w:ascii="仿宋" w:hAnsi="仿宋" w:eastAsia="仿宋" w:cs="仿宋"/>
          <w:color w:val="333333"/>
          <w:sz w:val="28"/>
          <w:szCs w:val="28"/>
          <w:lang w:val="en-US" w:eastAsia="zh-CN"/>
        </w:rPr>
        <w:t>况江</w:t>
      </w:r>
      <w:r>
        <w:rPr>
          <w:rFonts w:hint="eastAsia" w:ascii="仿宋" w:hAnsi="仿宋" w:eastAsia="仿宋" w:cs="仿宋"/>
          <w:color w:val="333333"/>
          <w:sz w:val="28"/>
          <w:szCs w:val="28"/>
        </w:rPr>
        <w:t>同志兼任</w:t>
      </w:r>
      <w:r>
        <w:rPr>
          <w:rFonts w:hint="eastAsia" w:ascii="仿宋" w:hAnsi="仿宋" w:eastAsia="仿宋" w:cs="仿宋"/>
          <w:color w:val="333333"/>
          <w:sz w:val="28"/>
          <w:szCs w:val="28"/>
          <w:lang w:eastAsia="zh-CN"/>
        </w:rPr>
        <w:t>，</w:t>
      </w:r>
      <w:r>
        <w:rPr>
          <w:rFonts w:hint="eastAsia" w:ascii="仿宋" w:hAnsi="仿宋" w:eastAsia="仿宋" w:cs="仿宋"/>
          <w:color w:val="333333"/>
          <w:sz w:val="28"/>
          <w:szCs w:val="28"/>
        </w:rPr>
        <w:t>具体负责本次转专业工作的通知、</w:t>
      </w:r>
      <w:r>
        <w:rPr>
          <w:rFonts w:hint="eastAsia" w:ascii="仿宋" w:hAnsi="仿宋" w:eastAsia="仿宋" w:cs="仿宋"/>
          <w:color w:val="333333"/>
          <w:sz w:val="28"/>
          <w:szCs w:val="28"/>
          <w:lang w:val="en-US" w:eastAsia="zh-CN"/>
        </w:rPr>
        <w:t>申请材料汇总</w:t>
      </w:r>
      <w:r>
        <w:rPr>
          <w:rFonts w:hint="eastAsia" w:ascii="仿宋" w:hAnsi="仿宋" w:eastAsia="仿宋" w:cs="仿宋"/>
          <w:color w:val="333333"/>
          <w:sz w:val="28"/>
          <w:szCs w:val="28"/>
        </w:rPr>
        <w:t>等相关工作。</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2" w:firstLineChars="200"/>
        <w:textAlignment w:val="auto"/>
        <w:rPr>
          <w:rFonts w:ascii="仿宋" w:hAnsi="仿宋" w:eastAsia="仿宋" w:cs="仿宋"/>
          <w:b/>
          <w:sz w:val="28"/>
          <w:szCs w:val="28"/>
        </w:rPr>
      </w:pPr>
      <w:r>
        <w:rPr>
          <w:rFonts w:hint="eastAsia" w:ascii="仿宋" w:hAnsi="仿宋" w:eastAsia="仿宋" w:cs="仿宋"/>
          <w:b/>
          <w:color w:val="333333"/>
          <w:sz w:val="28"/>
          <w:szCs w:val="28"/>
        </w:rPr>
        <w:t xml:space="preserve">二、基本原则 </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600"/>
        <w:textAlignment w:val="auto"/>
        <w:rPr>
          <w:rFonts w:ascii="仿宋" w:hAnsi="仿宋" w:eastAsia="仿宋" w:cs="仿宋"/>
          <w:color w:val="333333"/>
          <w:sz w:val="28"/>
          <w:szCs w:val="28"/>
        </w:rPr>
      </w:pPr>
      <w:r>
        <w:rPr>
          <w:rFonts w:hint="eastAsia" w:ascii="仿宋" w:hAnsi="仿宋" w:eastAsia="仿宋" w:cs="仿宋"/>
          <w:color w:val="333333"/>
          <w:sz w:val="28"/>
          <w:szCs w:val="28"/>
        </w:rPr>
        <w:t>1.遵循“公开、公平、公正”的原则，转入学生必须经面试和专业特长展示合格。</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600"/>
        <w:textAlignment w:val="auto"/>
        <w:rPr>
          <w:rFonts w:hint="eastAsia" w:ascii="仿宋" w:hAnsi="仿宋" w:eastAsia="仿宋" w:cs="仿宋"/>
          <w:color w:val="333333"/>
          <w:sz w:val="28"/>
          <w:szCs w:val="28"/>
        </w:rPr>
      </w:pPr>
      <w:r>
        <w:rPr>
          <w:rFonts w:hint="eastAsia" w:ascii="仿宋" w:hAnsi="仿宋" w:eastAsia="仿宋" w:cs="仿宋"/>
          <w:color w:val="333333"/>
          <w:sz w:val="28"/>
          <w:szCs w:val="28"/>
        </w:rPr>
        <w:t>2.在坚持公平公正前提下，普通高等教育转专业应以突出以学生为本，尊重学生意愿、注重个性发展、培养应用型人才原则下进行。</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600"/>
        <w:textAlignment w:val="auto"/>
        <w:rPr>
          <w:rFonts w:hint="default" w:ascii="仿宋" w:hAnsi="仿宋" w:eastAsia="仿宋" w:cs="仿宋"/>
          <w:color w:val="333333"/>
          <w:sz w:val="28"/>
          <w:szCs w:val="28"/>
          <w:lang w:val="en-US" w:eastAsia="zh-CN"/>
        </w:rPr>
      </w:pPr>
      <w:r>
        <w:rPr>
          <w:rFonts w:hint="eastAsia" w:ascii="仿宋" w:hAnsi="仿宋" w:eastAsia="仿宋" w:cs="仿宋"/>
          <w:color w:val="333333"/>
          <w:sz w:val="28"/>
          <w:szCs w:val="28"/>
          <w:lang w:val="en-US" w:eastAsia="zh-CN"/>
        </w:rPr>
        <w:t>3</w:t>
      </w:r>
      <w:r>
        <w:rPr>
          <w:rFonts w:hint="eastAsia" w:ascii="仿宋" w:hAnsi="仿宋" w:eastAsia="仿宋" w:cs="仿宋"/>
          <w:color w:val="333333"/>
          <w:sz w:val="28"/>
          <w:szCs w:val="28"/>
        </w:rPr>
        <w:t>.</w:t>
      </w:r>
      <w:r>
        <w:rPr>
          <w:rFonts w:hint="eastAsia" w:ascii="仿宋" w:hAnsi="仿宋" w:eastAsia="仿宋" w:cs="仿宋"/>
          <w:color w:val="333333"/>
          <w:sz w:val="28"/>
          <w:szCs w:val="28"/>
          <w:lang w:eastAsia="zh-CN"/>
        </w:rPr>
        <w:t>申请转专业的学生第一学年有重修科目，申请转专业前该学生所修公共基础课程（包括政治理论课、外语等）有</w:t>
      </w:r>
      <w:r>
        <w:rPr>
          <w:rFonts w:hint="eastAsia" w:ascii="仿宋" w:hAnsi="仿宋" w:eastAsia="仿宋" w:cs="仿宋"/>
          <w:color w:val="333333"/>
          <w:sz w:val="28"/>
          <w:szCs w:val="28"/>
          <w:lang w:val="en-US" w:eastAsia="zh-CN"/>
        </w:rPr>
        <w:t>1门（含1门）以上考核不合格者，均不符合转专业申请条件。</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600"/>
        <w:textAlignment w:val="auto"/>
        <w:rPr>
          <w:rFonts w:hint="eastAsia" w:ascii="仿宋" w:hAnsi="仿宋" w:eastAsia="仿宋" w:cs="仿宋"/>
          <w:color w:val="333333"/>
          <w:sz w:val="28"/>
          <w:szCs w:val="28"/>
        </w:rPr>
      </w:pPr>
      <w:r>
        <w:rPr>
          <w:rFonts w:hint="eastAsia" w:ascii="仿宋" w:hAnsi="仿宋" w:eastAsia="仿宋" w:cs="仿宋"/>
          <w:color w:val="333333"/>
          <w:sz w:val="28"/>
          <w:szCs w:val="28"/>
          <w:lang w:val="en-US" w:eastAsia="zh-CN"/>
        </w:rPr>
        <w:t>4</w:t>
      </w:r>
      <w:r>
        <w:rPr>
          <w:rFonts w:hint="eastAsia" w:ascii="仿宋" w:hAnsi="仿宋" w:eastAsia="仿宋" w:cs="仿宋"/>
          <w:color w:val="333333"/>
          <w:sz w:val="28"/>
          <w:szCs w:val="28"/>
        </w:rPr>
        <w:t>.人文社科类专业与理工类专业不能互转，体育、艺术类专业与非体育、艺术类专业不能互转;二本专业不得转入一本专业。</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20" w:firstLineChars="200"/>
        <w:textAlignment w:val="auto"/>
        <w:rPr>
          <w:rFonts w:hint="eastAsia" w:ascii="仿宋" w:hAnsi="仿宋" w:eastAsia="仿宋" w:cs="仿宋"/>
          <w:color w:val="333333"/>
          <w:sz w:val="21"/>
          <w:szCs w:val="21"/>
          <w:lang w:eastAsia="zh-CN"/>
        </w:rPr>
      </w:pPr>
      <w:r>
        <w:rPr>
          <w:rFonts w:hint="eastAsia" w:ascii="仿宋" w:hAnsi="仿宋" w:eastAsia="仿宋" w:cs="仿宋"/>
          <w:color w:val="333333"/>
          <w:sz w:val="21"/>
          <w:szCs w:val="21"/>
          <w:lang w:eastAsia="zh-CN"/>
        </w:rPr>
        <w:t>注：其他未尽事宜，以</w:t>
      </w:r>
      <w:r>
        <w:rPr>
          <w:rFonts w:hint="eastAsia" w:ascii="仿宋" w:hAnsi="仿宋" w:eastAsia="仿宋" w:cs="仿宋"/>
          <w:color w:val="333333"/>
          <w:sz w:val="21"/>
          <w:szCs w:val="21"/>
        </w:rPr>
        <w:t>《普通高等学校学生管理规定》和《贵州师范学院学生管理规定》、《贵州师范学院普通高等教育学生转专业实施细则（修订）》、《关于做好202</w:t>
      </w:r>
      <w:r>
        <w:rPr>
          <w:rFonts w:hint="eastAsia" w:ascii="仿宋" w:hAnsi="仿宋" w:eastAsia="仿宋" w:cs="仿宋"/>
          <w:color w:val="333333"/>
          <w:sz w:val="21"/>
          <w:szCs w:val="21"/>
          <w:lang w:val="en-US" w:eastAsia="zh-CN"/>
        </w:rPr>
        <w:t>1</w:t>
      </w:r>
      <w:r>
        <w:rPr>
          <w:rFonts w:hint="eastAsia" w:ascii="仿宋" w:hAnsi="仿宋" w:eastAsia="仿宋" w:cs="仿宋"/>
          <w:color w:val="333333"/>
          <w:sz w:val="21"/>
          <w:szCs w:val="21"/>
        </w:rPr>
        <w:t>年普通高等教育学生转专业工作的通知》等文件</w:t>
      </w:r>
      <w:r>
        <w:rPr>
          <w:rFonts w:hint="eastAsia" w:ascii="仿宋" w:hAnsi="仿宋" w:eastAsia="仿宋" w:cs="仿宋"/>
          <w:color w:val="333333"/>
          <w:sz w:val="21"/>
          <w:szCs w:val="21"/>
          <w:lang w:eastAsia="zh-CN"/>
        </w:rPr>
        <w:t>为准。</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2" w:firstLineChars="200"/>
        <w:textAlignment w:val="auto"/>
        <w:rPr>
          <w:rFonts w:ascii="仿宋" w:hAnsi="仿宋" w:eastAsia="仿宋" w:cs="仿宋"/>
          <w:b/>
          <w:color w:val="333333"/>
          <w:sz w:val="28"/>
          <w:szCs w:val="28"/>
        </w:rPr>
      </w:pPr>
      <w:r>
        <w:rPr>
          <w:rFonts w:hint="eastAsia" w:ascii="仿宋" w:hAnsi="仿宋" w:eastAsia="仿宋" w:cs="仿宋"/>
          <w:b/>
          <w:color w:val="333333"/>
          <w:sz w:val="28"/>
          <w:szCs w:val="28"/>
        </w:rPr>
        <w:t>三、人数计划</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textAlignment w:val="auto"/>
        <w:rPr>
          <w:rFonts w:ascii="仿宋" w:hAnsi="仿宋" w:eastAsia="仿宋" w:cs="仿宋"/>
          <w:b/>
          <w:color w:val="333333"/>
          <w:sz w:val="28"/>
          <w:szCs w:val="28"/>
        </w:rPr>
      </w:pPr>
      <w:r>
        <w:rPr>
          <w:rFonts w:hint="eastAsia" w:ascii="仿宋" w:hAnsi="仿宋" w:eastAsia="仿宋" w:cs="仿宋"/>
          <w:color w:val="333333"/>
          <w:sz w:val="28"/>
          <w:szCs w:val="28"/>
          <w:lang w:eastAsia="zh-CN"/>
        </w:rPr>
        <w:t>地理与资源</w:t>
      </w:r>
      <w:r>
        <w:rPr>
          <w:rFonts w:hint="eastAsia" w:ascii="仿宋" w:hAnsi="仿宋" w:eastAsia="仿宋" w:cs="仿宋"/>
          <w:color w:val="333333"/>
          <w:sz w:val="28"/>
          <w:szCs w:val="28"/>
        </w:rPr>
        <w:t>学院202</w:t>
      </w:r>
      <w:r>
        <w:rPr>
          <w:rFonts w:hint="eastAsia" w:ascii="仿宋" w:hAnsi="仿宋" w:eastAsia="仿宋" w:cs="仿宋"/>
          <w:color w:val="333333"/>
          <w:sz w:val="28"/>
          <w:szCs w:val="28"/>
          <w:lang w:val="en-US" w:eastAsia="zh-CN"/>
        </w:rPr>
        <w:t>1</w:t>
      </w:r>
      <w:r>
        <w:rPr>
          <w:rFonts w:hint="eastAsia" w:ascii="仿宋" w:hAnsi="仿宋" w:eastAsia="仿宋" w:cs="仿宋"/>
          <w:color w:val="333333"/>
          <w:sz w:val="28"/>
          <w:szCs w:val="28"/>
        </w:rPr>
        <w:t>年转专业控制人数如下表：</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98"/>
        <w:gridCol w:w="1463"/>
        <w:gridCol w:w="2131"/>
        <w:gridCol w:w="2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trPr>
        <w:tc>
          <w:tcPr>
            <w:tcW w:w="2798" w:type="dxa"/>
            <w:vMerge w:val="restart"/>
            <w:vAlign w:val="center"/>
          </w:tcPr>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rPr>
                <w:rFonts w:ascii="仿宋" w:hAnsi="仿宋" w:eastAsia="仿宋" w:cs="仿宋"/>
                <w:color w:val="333333"/>
                <w:sz w:val="24"/>
                <w:szCs w:val="24"/>
              </w:rPr>
            </w:pPr>
            <w:bookmarkStart w:id="1" w:name="OLE_LINK1"/>
            <w:r>
              <w:rPr>
                <w:rFonts w:hint="eastAsia" w:ascii="仿宋" w:hAnsi="仿宋" w:eastAsia="仿宋" w:cs="仿宋"/>
                <w:color w:val="333333"/>
                <w:sz w:val="24"/>
                <w:szCs w:val="24"/>
              </w:rPr>
              <w:t>专业</w:t>
            </w:r>
          </w:p>
        </w:tc>
        <w:tc>
          <w:tcPr>
            <w:tcW w:w="1463" w:type="dxa"/>
            <w:vMerge w:val="restart"/>
            <w:vAlign w:val="center"/>
          </w:tcPr>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rPr>
                <w:rFonts w:ascii="仿宋" w:hAnsi="仿宋" w:eastAsia="仿宋" w:cs="仿宋"/>
                <w:color w:val="333333"/>
                <w:sz w:val="24"/>
                <w:szCs w:val="24"/>
              </w:rPr>
            </w:pPr>
            <w:r>
              <w:rPr>
                <w:rFonts w:hint="eastAsia" w:ascii="仿宋" w:hAnsi="仿宋" w:eastAsia="仿宋" w:cs="仿宋"/>
                <w:color w:val="333333"/>
                <w:sz w:val="24"/>
                <w:szCs w:val="24"/>
              </w:rPr>
              <w:t>年级人数</w:t>
            </w:r>
          </w:p>
        </w:tc>
        <w:tc>
          <w:tcPr>
            <w:tcW w:w="4261" w:type="dxa"/>
            <w:gridSpan w:val="2"/>
            <w:vAlign w:val="center"/>
          </w:tcPr>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rPr>
                <w:rFonts w:ascii="仿宋" w:hAnsi="仿宋" w:eastAsia="仿宋" w:cs="仿宋"/>
                <w:color w:val="333333"/>
                <w:sz w:val="24"/>
                <w:szCs w:val="24"/>
              </w:rPr>
            </w:pPr>
            <w:r>
              <w:rPr>
                <w:rFonts w:hint="eastAsia" w:ascii="仿宋" w:hAnsi="仿宋" w:eastAsia="仿宋" w:cs="仿宋"/>
                <w:color w:val="333333"/>
                <w:sz w:val="24"/>
                <w:szCs w:val="24"/>
              </w:rPr>
              <w:t>转专业控制数（≦）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798" w:type="dxa"/>
            <w:vMerge w:val="continue"/>
            <w:vAlign w:val="center"/>
          </w:tcPr>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rPr>
                <w:rFonts w:ascii="仿宋" w:hAnsi="仿宋" w:eastAsia="仿宋" w:cs="仿宋"/>
                <w:color w:val="333333"/>
                <w:sz w:val="24"/>
                <w:szCs w:val="24"/>
              </w:rPr>
            </w:pPr>
          </w:p>
        </w:tc>
        <w:tc>
          <w:tcPr>
            <w:tcW w:w="1463" w:type="dxa"/>
            <w:vMerge w:val="continue"/>
            <w:vAlign w:val="center"/>
          </w:tcPr>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rPr>
                <w:rFonts w:ascii="仿宋" w:hAnsi="仿宋" w:eastAsia="仿宋" w:cs="仿宋"/>
                <w:color w:val="333333"/>
                <w:sz w:val="24"/>
                <w:szCs w:val="24"/>
              </w:rPr>
            </w:pPr>
          </w:p>
        </w:tc>
        <w:tc>
          <w:tcPr>
            <w:tcW w:w="2131" w:type="dxa"/>
            <w:vAlign w:val="center"/>
          </w:tcPr>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rPr>
                <w:rFonts w:ascii="仿宋" w:hAnsi="仿宋" w:eastAsia="仿宋" w:cs="仿宋"/>
                <w:color w:val="333333"/>
                <w:sz w:val="24"/>
                <w:szCs w:val="24"/>
              </w:rPr>
            </w:pPr>
            <w:r>
              <w:rPr>
                <w:rFonts w:hint="eastAsia" w:ascii="仿宋" w:hAnsi="仿宋" w:eastAsia="仿宋" w:cs="仿宋"/>
                <w:color w:val="333333"/>
                <w:sz w:val="24"/>
                <w:szCs w:val="24"/>
              </w:rPr>
              <w:t>转入</w:t>
            </w:r>
          </w:p>
        </w:tc>
        <w:tc>
          <w:tcPr>
            <w:tcW w:w="2130" w:type="dxa"/>
            <w:vAlign w:val="center"/>
          </w:tcPr>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rPr>
                <w:rFonts w:ascii="仿宋" w:hAnsi="仿宋" w:eastAsia="仿宋" w:cs="仿宋"/>
                <w:color w:val="333333"/>
                <w:sz w:val="24"/>
                <w:szCs w:val="24"/>
              </w:rPr>
            </w:pPr>
            <w:r>
              <w:rPr>
                <w:rFonts w:hint="eastAsia" w:ascii="仿宋" w:hAnsi="仿宋" w:eastAsia="仿宋" w:cs="仿宋"/>
                <w:color w:val="333333"/>
                <w:sz w:val="24"/>
                <w:szCs w:val="24"/>
              </w:rPr>
              <w:t>转出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exact"/>
        </w:trPr>
        <w:tc>
          <w:tcPr>
            <w:tcW w:w="2798" w:type="dxa"/>
            <w:vAlign w:val="center"/>
          </w:tcPr>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仿宋" w:hAnsi="仿宋" w:eastAsia="仿宋" w:cs="仿宋"/>
                <w:color w:val="333333"/>
                <w:sz w:val="24"/>
                <w:szCs w:val="24"/>
                <w:lang w:val="en-US" w:eastAsia="zh-CN"/>
              </w:rPr>
            </w:pPr>
            <w:r>
              <w:rPr>
                <w:rFonts w:hint="eastAsia" w:ascii="仿宋" w:hAnsi="仿宋" w:eastAsia="仿宋" w:cs="仿宋"/>
                <w:color w:val="333333"/>
                <w:sz w:val="24"/>
                <w:szCs w:val="24"/>
              </w:rPr>
              <w:t>地理科学</w:t>
            </w:r>
            <w:r>
              <w:rPr>
                <w:rFonts w:hint="eastAsia" w:ascii="仿宋" w:hAnsi="仿宋" w:eastAsia="仿宋" w:cs="仿宋"/>
                <w:color w:val="333333"/>
                <w:sz w:val="24"/>
                <w:szCs w:val="24"/>
                <w:lang w:val="en-US" w:eastAsia="zh-CN"/>
              </w:rPr>
              <w:t>大类</w:t>
            </w:r>
          </w:p>
        </w:tc>
        <w:tc>
          <w:tcPr>
            <w:tcW w:w="1463" w:type="dxa"/>
            <w:vAlign w:val="center"/>
          </w:tcPr>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156</w:t>
            </w:r>
          </w:p>
        </w:tc>
        <w:tc>
          <w:tcPr>
            <w:tcW w:w="2131" w:type="dxa"/>
            <w:vAlign w:val="center"/>
          </w:tcPr>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16</w:t>
            </w:r>
          </w:p>
        </w:tc>
        <w:tc>
          <w:tcPr>
            <w:tcW w:w="2130" w:type="dxa"/>
            <w:vAlign w:val="center"/>
          </w:tcPr>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exact"/>
        </w:trPr>
        <w:tc>
          <w:tcPr>
            <w:tcW w:w="2798" w:type="dxa"/>
            <w:vAlign w:val="center"/>
          </w:tcPr>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rPr>
                <w:rFonts w:ascii="仿宋" w:hAnsi="仿宋" w:eastAsia="仿宋" w:cs="仿宋"/>
                <w:color w:val="333333"/>
                <w:sz w:val="24"/>
                <w:szCs w:val="24"/>
              </w:rPr>
            </w:pPr>
            <w:r>
              <w:rPr>
                <w:rFonts w:hint="eastAsia" w:ascii="仿宋" w:hAnsi="仿宋" w:eastAsia="仿宋" w:cs="仿宋"/>
                <w:color w:val="333333"/>
                <w:sz w:val="24"/>
                <w:szCs w:val="24"/>
              </w:rPr>
              <w:t>农业资源与环境</w:t>
            </w:r>
          </w:p>
        </w:tc>
        <w:tc>
          <w:tcPr>
            <w:tcW w:w="1463" w:type="dxa"/>
            <w:vAlign w:val="center"/>
          </w:tcPr>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rPr>
              <w:t>4</w:t>
            </w:r>
            <w:r>
              <w:rPr>
                <w:rFonts w:hint="eastAsia" w:ascii="仿宋" w:hAnsi="仿宋" w:eastAsia="仿宋" w:cs="仿宋"/>
                <w:sz w:val="24"/>
                <w:szCs w:val="24"/>
                <w:lang w:val="en-US" w:eastAsia="zh-CN"/>
              </w:rPr>
              <w:t>7</w:t>
            </w:r>
          </w:p>
        </w:tc>
        <w:tc>
          <w:tcPr>
            <w:tcW w:w="2131" w:type="dxa"/>
            <w:vAlign w:val="center"/>
          </w:tcPr>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rPr>
                <w:rFonts w:ascii="仿宋" w:hAnsi="仿宋" w:eastAsia="仿宋" w:cs="仿宋"/>
                <w:sz w:val="24"/>
                <w:szCs w:val="24"/>
              </w:rPr>
            </w:pPr>
            <w:r>
              <w:rPr>
                <w:rFonts w:hint="eastAsia" w:ascii="仿宋" w:hAnsi="仿宋" w:eastAsia="仿宋" w:cs="仿宋"/>
                <w:sz w:val="24"/>
                <w:szCs w:val="24"/>
              </w:rPr>
              <w:t>5</w:t>
            </w:r>
          </w:p>
        </w:tc>
        <w:tc>
          <w:tcPr>
            <w:tcW w:w="2130" w:type="dxa"/>
            <w:vAlign w:val="center"/>
          </w:tcPr>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rPr>
                <w:rFonts w:ascii="仿宋" w:hAnsi="仿宋" w:eastAsia="仿宋" w:cs="仿宋"/>
                <w:sz w:val="24"/>
                <w:szCs w:val="24"/>
              </w:rPr>
            </w:pPr>
            <w:r>
              <w:rPr>
                <w:rFonts w:hint="eastAsia" w:ascii="仿宋" w:hAnsi="仿宋" w:eastAsia="仿宋" w:cs="仿宋"/>
                <w:sz w:val="24"/>
                <w:szCs w:val="24"/>
              </w:rPr>
              <w:t>2</w:t>
            </w:r>
          </w:p>
        </w:tc>
      </w:tr>
      <w:bookmarkEnd w:id="1"/>
    </w:tbl>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20" w:firstLineChars="200"/>
        <w:textAlignment w:val="auto"/>
        <w:rPr>
          <w:rFonts w:ascii="仿宋" w:hAnsi="仿宋" w:eastAsia="仿宋" w:cs="仿宋"/>
          <w:color w:val="333333"/>
          <w:sz w:val="21"/>
          <w:szCs w:val="21"/>
        </w:rPr>
      </w:pPr>
      <w:r>
        <w:rPr>
          <w:rFonts w:hint="eastAsia" w:ascii="仿宋" w:hAnsi="仿宋" w:eastAsia="仿宋" w:cs="仿宋"/>
          <w:color w:val="333333"/>
          <w:sz w:val="21"/>
          <w:szCs w:val="21"/>
        </w:rPr>
        <w:t>注：转入</w:t>
      </w:r>
      <w:r>
        <w:rPr>
          <w:rFonts w:hint="eastAsia" w:ascii="仿宋" w:hAnsi="仿宋" w:eastAsia="仿宋" w:cs="仿宋"/>
          <w:color w:val="333333"/>
          <w:sz w:val="21"/>
          <w:szCs w:val="21"/>
          <w:lang w:eastAsia="zh-CN"/>
        </w:rPr>
        <w:t>、</w:t>
      </w:r>
      <w:r>
        <w:rPr>
          <w:rFonts w:hint="eastAsia" w:ascii="仿宋" w:hAnsi="仿宋" w:eastAsia="仿宋" w:cs="仿宋"/>
          <w:color w:val="333333"/>
          <w:sz w:val="21"/>
          <w:szCs w:val="21"/>
        </w:rPr>
        <w:t>转出人数严格按照保留小数点后2位后四舍五入进行核算</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2" w:firstLineChars="200"/>
        <w:textAlignment w:val="auto"/>
        <w:rPr>
          <w:rFonts w:ascii="仿宋" w:hAnsi="仿宋" w:eastAsia="仿宋" w:cs="仿宋"/>
          <w:b/>
          <w:color w:val="333333"/>
          <w:sz w:val="28"/>
          <w:szCs w:val="28"/>
        </w:rPr>
      </w:pPr>
      <w:r>
        <w:rPr>
          <w:rFonts w:hint="eastAsia" w:ascii="仿宋" w:hAnsi="仿宋" w:eastAsia="仿宋" w:cs="仿宋"/>
          <w:b/>
          <w:color w:val="333333"/>
          <w:sz w:val="28"/>
          <w:szCs w:val="28"/>
        </w:rPr>
        <w:t>四、工作程序及时间要求</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textAlignment w:val="auto"/>
        <w:rPr>
          <w:rFonts w:ascii="仿宋" w:hAnsi="仿宋" w:eastAsia="仿宋" w:cs="仿宋"/>
          <w:color w:val="333333"/>
          <w:sz w:val="28"/>
          <w:szCs w:val="28"/>
        </w:rPr>
      </w:pPr>
      <w:r>
        <w:rPr>
          <w:rFonts w:hint="eastAsia" w:ascii="仿宋" w:hAnsi="仿宋" w:eastAsia="仿宋" w:cs="仿宋"/>
          <w:color w:val="333333"/>
          <w:sz w:val="28"/>
          <w:szCs w:val="28"/>
        </w:rPr>
        <w:t>（一）转出：202</w:t>
      </w:r>
      <w:r>
        <w:rPr>
          <w:rFonts w:hint="eastAsia" w:ascii="仿宋" w:hAnsi="仿宋" w:eastAsia="仿宋" w:cs="仿宋"/>
          <w:color w:val="333333"/>
          <w:sz w:val="28"/>
          <w:szCs w:val="28"/>
          <w:lang w:val="en-US" w:eastAsia="zh-CN"/>
        </w:rPr>
        <w:t>1</w:t>
      </w:r>
      <w:r>
        <w:rPr>
          <w:rFonts w:hint="eastAsia" w:ascii="仿宋" w:hAnsi="仿宋" w:eastAsia="仿宋" w:cs="仿宋"/>
          <w:color w:val="333333"/>
          <w:sz w:val="28"/>
          <w:szCs w:val="28"/>
        </w:rPr>
        <w:t>年</w:t>
      </w:r>
      <w:r>
        <w:rPr>
          <w:rFonts w:hint="eastAsia" w:ascii="仿宋" w:hAnsi="仿宋" w:eastAsia="仿宋" w:cs="仿宋"/>
          <w:color w:val="333333"/>
          <w:sz w:val="28"/>
          <w:szCs w:val="28"/>
          <w:lang w:val="en-US" w:eastAsia="zh-CN"/>
        </w:rPr>
        <w:t>5</w:t>
      </w:r>
      <w:r>
        <w:rPr>
          <w:rFonts w:hint="eastAsia" w:ascii="仿宋" w:hAnsi="仿宋" w:eastAsia="仿宋" w:cs="仿宋"/>
          <w:color w:val="333333"/>
          <w:sz w:val="28"/>
          <w:szCs w:val="28"/>
        </w:rPr>
        <w:t>月</w:t>
      </w:r>
      <w:r>
        <w:rPr>
          <w:rFonts w:hint="eastAsia" w:ascii="仿宋" w:hAnsi="仿宋" w:eastAsia="仿宋" w:cs="仿宋"/>
          <w:color w:val="333333"/>
          <w:sz w:val="28"/>
          <w:szCs w:val="28"/>
          <w:lang w:val="en-US" w:eastAsia="zh-CN"/>
        </w:rPr>
        <w:t>24</w:t>
      </w:r>
      <w:r>
        <w:rPr>
          <w:rFonts w:hint="eastAsia" w:ascii="仿宋" w:hAnsi="仿宋" w:eastAsia="仿宋" w:cs="仿宋"/>
          <w:color w:val="333333"/>
          <w:sz w:val="28"/>
          <w:szCs w:val="28"/>
        </w:rPr>
        <w:t>日--</w:t>
      </w:r>
      <w:r>
        <w:rPr>
          <w:rFonts w:hint="eastAsia" w:ascii="仿宋" w:hAnsi="仿宋" w:eastAsia="仿宋" w:cs="仿宋"/>
          <w:color w:val="333333"/>
          <w:sz w:val="28"/>
          <w:szCs w:val="28"/>
          <w:lang w:val="en-US" w:eastAsia="zh-CN"/>
        </w:rPr>
        <w:t>5</w:t>
      </w:r>
      <w:r>
        <w:rPr>
          <w:rFonts w:hint="eastAsia" w:ascii="仿宋" w:hAnsi="仿宋" w:eastAsia="仿宋" w:cs="仿宋"/>
          <w:color w:val="333333"/>
          <w:sz w:val="28"/>
          <w:szCs w:val="28"/>
        </w:rPr>
        <w:t>月</w:t>
      </w:r>
      <w:r>
        <w:rPr>
          <w:rFonts w:hint="eastAsia" w:ascii="仿宋" w:hAnsi="仿宋" w:eastAsia="仿宋" w:cs="仿宋"/>
          <w:color w:val="333333"/>
          <w:sz w:val="28"/>
          <w:szCs w:val="28"/>
          <w:lang w:val="en-US" w:eastAsia="zh-CN"/>
        </w:rPr>
        <w:t>26</w:t>
      </w:r>
      <w:r>
        <w:rPr>
          <w:rFonts w:hint="eastAsia" w:ascii="仿宋" w:hAnsi="仿宋" w:eastAsia="仿宋" w:cs="仿宋"/>
          <w:color w:val="333333"/>
          <w:sz w:val="28"/>
          <w:szCs w:val="28"/>
        </w:rPr>
        <w:t>日，由20</w:t>
      </w:r>
      <w:r>
        <w:rPr>
          <w:rFonts w:hint="eastAsia" w:ascii="仿宋" w:hAnsi="仿宋" w:eastAsia="仿宋" w:cs="仿宋"/>
          <w:color w:val="333333"/>
          <w:sz w:val="28"/>
          <w:szCs w:val="28"/>
          <w:lang w:val="en-US" w:eastAsia="zh-CN"/>
        </w:rPr>
        <w:t>20</w:t>
      </w:r>
      <w:r>
        <w:rPr>
          <w:rFonts w:hint="eastAsia" w:ascii="仿宋" w:hAnsi="仿宋" w:eastAsia="仿宋" w:cs="仿宋"/>
          <w:color w:val="333333"/>
          <w:sz w:val="28"/>
          <w:szCs w:val="28"/>
        </w:rPr>
        <w:t>级拟申请转专业的学生本人提出申请并填写《贵州师范学院普通高等教育学生转专业申请表》与进入我校以来的各门课程考核成绩，提交到学院转专业领导小组办公室；学院转专业工作领导审核，并在申请转专业学生中，根据进入我校学习以来各门课程成绩总分（其中考查课程“优秀”等级按90分、“良好”等级按75分、“合格”等级按60分、“不合格”等级0分的标准计分），在专业转出控制数范围内由高到低依次确定拟转出名单，于</w:t>
      </w:r>
      <w:r>
        <w:rPr>
          <w:rFonts w:hint="eastAsia" w:ascii="仿宋" w:hAnsi="仿宋" w:eastAsia="仿宋" w:cs="仿宋"/>
          <w:color w:val="333333"/>
          <w:sz w:val="28"/>
          <w:szCs w:val="28"/>
          <w:lang w:val="en-US" w:eastAsia="zh-CN"/>
        </w:rPr>
        <w:t>5</w:t>
      </w:r>
      <w:r>
        <w:rPr>
          <w:rFonts w:hint="eastAsia" w:ascii="仿宋" w:hAnsi="仿宋" w:eastAsia="仿宋" w:cs="仿宋"/>
          <w:color w:val="333333"/>
          <w:sz w:val="28"/>
          <w:szCs w:val="28"/>
        </w:rPr>
        <w:t>月</w:t>
      </w:r>
      <w:r>
        <w:rPr>
          <w:rFonts w:hint="eastAsia" w:ascii="仿宋" w:hAnsi="仿宋" w:eastAsia="仿宋" w:cs="仿宋"/>
          <w:color w:val="333333"/>
          <w:sz w:val="28"/>
          <w:szCs w:val="28"/>
          <w:lang w:val="en-US" w:eastAsia="zh-CN"/>
        </w:rPr>
        <w:t>27</w:t>
      </w:r>
      <w:r>
        <w:rPr>
          <w:rFonts w:hint="eastAsia" w:ascii="仿宋" w:hAnsi="仿宋" w:eastAsia="仿宋" w:cs="仿宋"/>
          <w:color w:val="333333"/>
          <w:sz w:val="28"/>
          <w:szCs w:val="28"/>
        </w:rPr>
        <w:t>日—</w:t>
      </w:r>
      <w:r>
        <w:rPr>
          <w:rFonts w:hint="eastAsia" w:ascii="仿宋" w:hAnsi="仿宋" w:eastAsia="仿宋" w:cs="仿宋"/>
          <w:color w:val="333333"/>
          <w:sz w:val="28"/>
          <w:szCs w:val="28"/>
          <w:lang w:val="en-US" w:eastAsia="zh-CN"/>
        </w:rPr>
        <w:t>5</w:t>
      </w:r>
      <w:r>
        <w:rPr>
          <w:rFonts w:hint="eastAsia" w:ascii="仿宋" w:hAnsi="仿宋" w:eastAsia="仿宋" w:cs="仿宋"/>
          <w:color w:val="333333"/>
          <w:sz w:val="28"/>
          <w:szCs w:val="28"/>
        </w:rPr>
        <w:t>月</w:t>
      </w:r>
      <w:r>
        <w:rPr>
          <w:rFonts w:hint="eastAsia" w:ascii="仿宋" w:hAnsi="仿宋" w:eastAsia="仿宋" w:cs="仿宋"/>
          <w:color w:val="333333"/>
          <w:sz w:val="28"/>
          <w:szCs w:val="28"/>
          <w:lang w:val="en-US" w:eastAsia="zh-CN"/>
        </w:rPr>
        <w:t>29</w:t>
      </w:r>
      <w:r>
        <w:rPr>
          <w:rFonts w:hint="eastAsia" w:ascii="仿宋" w:hAnsi="仿宋" w:eastAsia="仿宋" w:cs="仿宋"/>
          <w:color w:val="333333"/>
          <w:sz w:val="28"/>
          <w:szCs w:val="28"/>
        </w:rPr>
        <w:t>日在院内公示拟转出学生名单并将拟同意转出的学生名单及党政联席会议纪要交学生申请转入学院。</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textAlignment w:val="auto"/>
        <w:rPr>
          <w:rFonts w:ascii="仿宋" w:hAnsi="仿宋" w:eastAsia="仿宋" w:cs="仿宋"/>
          <w:color w:val="333333"/>
          <w:sz w:val="28"/>
          <w:szCs w:val="28"/>
        </w:rPr>
      </w:pPr>
      <w:r>
        <w:rPr>
          <w:rFonts w:hint="eastAsia" w:ascii="仿宋" w:hAnsi="仿宋" w:eastAsia="仿宋" w:cs="仿宋"/>
          <w:color w:val="333333"/>
          <w:sz w:val="28"/>
          <w:szCs w:val="28"/>
        </w:rPr>
        <w:t>（二）转入：5月31日—6月4日学院对申请转入的学生（指已通过原专业所在学院同意转出的学生）提交的材料（含《贵州师范学院普通高等教育学生转专业申请表》及相关证明材料）进行审核，并按照工作方案，组织考核拟转专业的学生本人进行面试和专业特长展示，面试和专业特长展示同时进行，按照面试和专业特长展示综合成绩排名由高到低依次确定拟同意转入名单并进行公示；6月</w:t>
      </w:r>
      <w:r>
        <w:rPr>
          <w:rFonts w:hint="eastAsia" w:ascii="仿宋" w:hAnsi="仿宋" w:eastAsia="仿宋" w:cs="仿宋"/>
          <w:color w:val="333333"/>
          <w:sz w:val="28"/>
          <w:szCs w:val="28"/>
          <w:lang w:val="en-US" w:eastAsia="zh-CN"/>
        </w:rPr>
        <w:t>5</w:t>
      </w:r>
      <w:r>
        <w:rPr>
          <w:rFonts w:hint="eastAsia" w:ascii="仿宋" w:hAnsi="仿宋" w:eastAsia="仿宋" w:cs="仿宋"/>
          <w:color w:val="333333"/>
          <w:sz w:val="28"/>
          <w:szCs w:val="28"/>
        </w:rPr>
        <w:t>日将同意接收转专业学生的相关党政联席会决议及证明材料报送教务处。</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2" w:firstLineChars="200"/>
        <w:textAlignment w:val="auto"/>
        <w:rPr>
          <w:rFonts w:ascii="仿宋" w:hAnsi="仿宋" w:eastAsia="仿宋" w:cs="仿宋"/>
          <w:b/>
          <w:color w:val="333333"/>
          <w:sz w:val="28"/>
          <w:szCs w:val="28"/>
        </w:rPr>
      </w:pPr>
      <w:r>
        <w:rPr>
          <w:rFonts w:hint="eastAsia" w:ascii="仿宋" w:hAnsi="仿宋" w:eastAsia="仿宋" w:cs="仿宋"/>
          <w:b/>
          <w:color w:val="333333"/>
          <w:sz w:val="28"/>
          <w:szCs w:val="28"/>
        </w:rPr>
        <w:t>五、面试和专业特长展示</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600"/>
        <w:textAlignment w:val="auto"/>
        <w:rPr>
          <w:rFonts w:ascii="仿宋" w:hAnsi="仿宋" w:eastAsia="仿宋" w:cs="仿宋"/>
          <w:color w:val="333333"/>
          <w:sz w:val="28"/>
          <w:szCs w:val="28"/>
        </w:rPr>
      </w:pPr>
      <w:r>
        <w:rPr>
          <w:rFonts w:hint="eastAsia" w:ascii="仿宋" w:hAnsi="仿宋" w:eastAsia="仿宋" w:cs="仿宋"/>
          <w:color w:val="333333"/>
          <w:sz w:val="28"/>
          <w:szCs w:val="28"/>
        </w:rPr>
        <w:t>面试和专业特长展示同时进行，专业特长展示分为自我介绍、专业特长展示两个环节，面试以回答问题形式进行；专业特长展示内容无固定形式，学院不提供任何辅助材料与展示器具。</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600"/>
        <w:textAlignment w:val="auto"/>
        <w:rPr>
          <w:rFonts w:ascii="仿宋" w:hAnsi="仿宋" w:eastAsia="仿宋" w:cs="仿宋"/>
          <w:b/>
          <w:color w:val="333333"/>
          <w:sz w:val="28"/>
          <w:szCs w:val="28"/>
        </w:rPr>
      </w:pPr>
      <w:r>
        <w:rPr>
          <w:rFonts w:hint="eastAsia" w:ascii="仿宋" w:hAnsi="仿宋" w:eastAsia="仿宋" w:cs="仿宋"/>
          <w:b/>
          <w:color w:val="333333"/>
          <w:sz w:val="28"/>
          <w:szCs w:val="28"/>
        </w:rPr>
        <w:t>六、其他</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600"/>
        <w:textAlignment w:val="auto"/>
        <w:rPr>
          <w:rFonts w:hint="eastAsia" w:ascii="仿宋" w:hAnsi="仿宋" w:eastAsia="仿宋" w:cs="仿宋"/>
          <w:color w:val="333333"/>
          <w:sz w:val="28"/>
          <w:szCs w:val="28"/>
        </w:rPr>
      </w:pPr>
      <w:r>
        <w:rPr>
          <w:rFonts w:hint="eastAsia" w:ascii="仿宋" w:hAnsi="仿宋" w:eastAsia="仿宋" w:cs="仿宋"/>
          <w:color w:val="333333"/>
          <w:sz w:val="28"/>
          <w:szCs w:val="28"/>
        </w:rPr>
        <w:t>转专业过程中，凡填报有关材料、面试、专业特长展示等各环节弄虚作假的，一律取消转专业资格。</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textAlignment w:val="auto"/>
        <w:rPr>
          <w:rFonts w:hint="eastAsia" w:ascii="仿宋" w:hAnsi="仿宋" w:eastAsia="仿宋" w:cs="仿宋"/>
          <w:color w:val="333333"/>
          <w:sz w:val="28"/>
          <w:szCs w:val="28"/>
          <w:lang w:val="en-US"/>
        </w:rPr>
      </w:pPr>
      <w:r>
        <w:rPr>
          <w:rFonts w:hint="eastAsia" w:ascii="仿宋" w:hAnsi="仿宋" w:eastAsia="仿宋" w:cs="仿宋"/>
          <w:color w:val="333333"/>
          <w:sz w:val="28"/>
          <w:szCs w:val="28"/>
          <w:lang w:val="en-US" w:eastAsia="zh-CN"/>
        </w:rPr>
        <w:t>附件：</w:t>
      </w:r>
      <w:r>
        <w:rPr>
          <w:rFonts w:hint="eastAsia" w:ascii="仿宋" w:hAnsi="仿宋" w:eastAsia="仿宋" w:cs="仿宋"/>
          <w:color w:val="333333"/>
          <w:sz w:val="28"/>
          <w:szCs w:val="28"/>
          <w:lang w:val="en-US"/>
        </w:rPr>
        <w:t>1.</w:t>
      </w:r>
      <w:r>
        <w:rPr>
          <w:rFonts w:hint="eastAsia" w:ascii="仿宋" w:hAnsi="仿宋" w:eastAsia="仿宋" w:cs="仿宋"/>
          <w:color w:val="333333"/>
          <w:sz w:val="28"/>
          <w:szCs w:val="28"/>
          <w:lang w:val="en-US" w:eastAsia="zh-CN"/>
        </w:rPr>
        <w:t>贵州师范学院普通高等教育学生转专业申请表</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textAlignment w:val="auto"/>
        <w:rPr>
          <w:rFonts w:hint="eastAsia" w:ascii="仿宋" w:hAnsi="仿宋" w:eastAsia="仿宋" w:cs="仿宋"/>
          <w:color w:val="333333"/>
          <w:sz w:val="28"/>
          <w:szCs w:val="28"/>
          <w:lang w:val="en-US"/>
        </w:rPr>
      </w:pPr>
      <w:r>
        <w:rPr>
          <w:rFonts w:hint="eastAsia" w:ascii="仿宋" w:hAnsi="仿宋" w:eastAsia="仿宋" w:cs="仿宋"/>
          <w:color w:val="333333"/>
          <w:sz w:val="28"/>
          <w:szCs w:val="28"/>
          <w:lang w:val="en-US"/>
        </w:rPr>
        <w:t>   2.</w:t>
      </w:r>
      <w:r>
        <w:rPr>
          <w:rFonts w:hint="eastAsia" w:ascii="仿宋" w:hAnsi="仿宋" w:eastAsia="仿宋" w:cs="仿宋"/>
          <w:color w:val="333333"/>
          <w:sz w:val="28"/>
          <w:szCs w:val="28"/>
          <w:lang w:val="en-US" w:eastAsia="zh-CN"/>
        </w:rPr>
        <w:t>贵州师范学院普通高等教育学生转专业报到注册单</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textAlignment w:val="auto"/>
        <w:rPr>
          <w:rFonts w:hint="eastAsia" w:ascii="仿宋" w:hAnsi="仿宋" w:eastAsia="仿宋" w:cs="仿宋"/>
          <w:color w:val="333333"/>
          <w:w w:val="92"/>
          <w:sz w:val="28"/>
          <w:szCs w:val="28"/>
          <w:lang w:val="en-US"/>
        </w:rPr>
      </w:pPr>
      <w:r>
        <w:rPr>
          <w:rFonts w:hint="eastAsia" w:ascii="仿宋" w:hAnsi="仿宋" w:eastAsia="仿宋" w:cs="仿宋"/>
          <w:color w:val="333333"/>
          <w:sz w:val="28"/>
          <w:szCs w:val="28"/>
          <w:lang w:val="en-US"/>
        </w:rPr>
        <w:t>   </w:t>
      </w:r>
      <w:r>
        <w:rPr>
          <w:rFonts w:hint="eastAsia" w:ascii="仿宋" w:hAnsi="仿宋" w:eastAsia="仿宋" w:cs="仿宋"/>
          <w:color w:val="333333"/>
          <w:w w:val="92"/>
          <w:sz w:val="28"/>
          <w:szCs w:val="28"/>
          <w:lang w:val="en-US"/>
        </w:rPr>
        <w:t>3.</w:t>
      </w:r>
      <w:r>
        <w:rPr>
          <w:rFonts w:hint="eastAsia" w:ascii="仿宋" w:hAnsi="仿宋" w:eastAsia="仿宋" w:cs="仿宋"/>
          <w:color w:val="333333"/>
          <w:w w:val="92"/>
          <w:sz w:val="28"/>
          <w:szCs w:val="28"/>
          <w:lang w:val="en-US" w:eastAsia="zh-CN"/>
        </w:rPr>
        <w:t>贵州师范学院本科生转专业课程认定与成绩（学分）转换申请表</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600"/>
        <w:jc w:val="right"/>
        <w:textAlignment w:val="auto"/>
        <w:rPr>
          <w:rFonts w:ascii="仿宋" w:hAnsi="仿宋" w:eastAsia="仿宋" w:cs="仿宋"/>
          <w:color w:val="333333"/>
          <w:sz w:val="28"/>
          <w:szCs w:val="28"/>
        </w:rPr>
      </w:pP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600"/>
        <w:jc w:val="right"/>
        <w:textAlignment w:val="auto"/>
        <w:rPr>
          <w:rFonts w:ascii="仿宋" w:hAnsi="仿宋" w:eastAsia="仿宋" w:cs="仿宋"/>
          <w:color w:val="333333"/>
          <w:sz w:val="28"/>
          <w:szCs w:val="28"/>
        </w:rPr>
      </w:pPr>
      <w:r>
        <w:rPr>
          <w:rFonts w:hint="eastAsia" w:ascii="仿宋" w:hAnsi="仿宋" w:eastAsia="仿宋" w:cs="仿宋"/>
          <w:color w:val="333333"/>
          <w:sz w:val="28"/>
          <w:szCs w:val="28"/>
        </w:rPr>
        <w:t>地理与资源学院</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600"/>
        <w:jc w:val="right"/>
        <w:textAlignment w:val="auto"/>
        <w:rPr>
          <w:b/>
          <w:sz w:val="44"/>
          <w:szCs w:val="44"/>
        </w:rPr>
      </w:pPr>
      <w:r>
        <w:rPr>
          <w:rFonts w:hint="eastAsia" w:ascii="仿宋" w:hAnsi="仿宋" w:eastAsia="仿宋" w:cs="仿宋"/>
          <w:color w:val="333333"/>
          <w:sz w:val="28"/>
          <w:szCs w:val="28"/>
        </w:rPr>
        <w:t xml:space="preserve">                             202</w:t>
      </w:r>
      <w:r>
        <w:rPr>
          <w:rFonts w:hint="eastAsia" w:ascii="仿宋" w:hAnsi="仿宋" w:eastAsia="仿宋" w:cs="仿宋"/>
          <w:color w:val="333333"/>
          <w:sz w:val="28"/>
          <w:szCs w:val="28"/>
          <w:lang w:val="en-US" w:eastAsia="zh-CN"/>
        </w:rPr>
        <w:t>1</w:t>
      </w:r>
      <w:r>
        <w:rPr>
          <w:rFonts w:hint="eastAsia" w:ascii="仿宋" w:hAnsi="仿宋" w:eastAsia="仿宋" w:cs="仿宋"/>
          <w:color w:val="333333"/>
          <w:sz w:val="28"/>
          <w:szCs w:val="28"/>
        </w:rPr>
        <w:t>年5月</w:t>
      </w:r>
      <w:r>
        <w:rPr>
          <w:rFonts w:hint="eastAsia" w:ascii="仿宋" w:hAnsi="仿宋" w:eastAsia="仿宋" w:cs="仿宋"/>
          <w:color w:val="333333"/>
          <w:sz w:val="28"/>
          <w:szCs w:val="28"/>
          <w:lang w:val="en-US" w:eastAsia="zh-CN"/>
        </w:rPr>
        <w:t>12</w:t>
      </w:r>
      <w:r>
        <w:rPr>
          <w:rFonts w:hint="eastAsia" w:ascii="仿宋" w:hAnsi="仿宋" w:eastAsia="仿宋" w:cs="仿宋"/>
          <w:color w:val="333333"/>
          <w:sz w:val="28"/>
          <w:szCs w:val="28"/>
        </w:rPr>
        <w:t>日</w:t>
      </w:r>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fixed"/>
    <w:sig w:usb0="800002BF" w:usb1="38CF7CFA" w:usb2="00000016" w:usb3="00000000" w:csb0="00040001" w:csb1="00000000"/>
  </w:font>
  <w:font w:name="@宋体">
    <w:panose1 w:val="02010600030101010101"/>
    <w:charset w:val="86"/>
    <w:family w:val="auto"/>
    <w:pitch w:val="variable"/>
    <w:sig w:usb0="000000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891FE1"/>
    <w:rsid w:val="00081BB1"/>
    <w:rsid w:val="000B0566"/>
    <w:rsid w:val="000F5DC5"/>
    <w:rsid w:val="001C7229"/>
    <w:rsid w:val="0022108F"/>
    <w:rsid w:val="002648FC"/>
    <w:rsid w:val="00284795"/>
    <w:rsid w:val="00284F9B"/>
    <w:rsid w:val="002A422E"/>
    <w:rsid w:val="00431721"/>
    <w:rsid w:val="004A4559"/>
    <w:rsid w:val="005323B9"/>
    <w:rsid w:val="005D337F"/>
    <w:rsid w:val="00641DD5"/>
    <w:rsid w:val="00644BA6"/>
    <w:rsid w:val="006814B6"/>
    <w:rsid w:val="006924E4"/>
    <w:rsid w:val="006A6015"/>
    <w:rsid w:val="007346D5"/>
    <w:rsid w:val="00787796"/>
    <w:rsid w:val="00891FE1"/>
    <w:rsid w:val="00894127"/>
    <w:rsid w:val="00913184"/>
    <w:rsid w:val="00932DB7"/>
    <w:rsid w:val="009F1322"/>
    <w:rsid w:val="00A12869"/>
    <w:rsid w:val="00A152DA"/>
    <w:rsid w:val="00A67683"/>
    <w:rsid w:val="00A85D18"/>
    <w:rsid w:val="00B0517C"/>
    <w:rsid w:val="00B1239C"/>
    <w:rsid w:val="00B31F29"/>
    <w:rsid w:val="00B676BF"/>
    <w:rsid w:val="00C25E8D"/>
    <w:rsid w:val="00CD7671"/>
    <w:rsid w:val="00CF1C30"/>
    <w:rsid w:val="00D20DEE"/>
    <w:rsid w:val="00DB0EBB"/>
    <w:rsid w:val="00DE1E1A"/>
    <w:rsid w:val="00DF4455"/>
    <w:rsid w:val="00E25873"/>
    <w:rsid w:val="00E32EDB"/>
    <w:rsid w:val="00E7273F"/>
    <w:rsid w:val="00EC5E10"/>
    <w:rsid w:val="00F5442E"/>
    <w:rsid w:val="00F60F8F"/>
    <w:rsid w:val="00F73BA1"/>
    <w:rsid w:val="028569F4"/>
    <w:rsid w:val="07681E61"/>
    <w:rsid w:val="0F9B1FC7"/>
    <w:rsid w:val="0F9F7CF1"/>
    <w:rsid w:val="12E01B07"/>
    <w:rsid w:val="15570982"/>
    <w:rsid w:val="16A532E4"/>
    <w:rsid w:val="16B807B8"/>
    <w:rsid w:val="179B515B"/>
    <w:rsid w:val="17C711BD"/>
    <w:rsid w:val="17FF2F16"/>
    <w:rsid w:val="19990933"/>
    <w:rsid w:val="1AE615FE"/>
    <w:rsid w:val="1C9014DE"/>
    <w:rsid w:val="22C87F88"/>
    <w:rsid w:val="244856F4"/>
    <w:rsid w:val="25C96AF8"/>
    <w:rsid w:val="25EF1DA1"/>
    <w:rsid w:val="26527B0F"/>
    <w:rsid w:val="29EA784D"/>
    <w:rsid w:val="2E4C528A"/>
    <w:rsid w:val="2F1D697E"/>
    <w:rsid w:val="323B126D"/>
    <w:rsid w:val="325637C3"/>
    <w:rsid w:val="34766C0D"/>
    <w:rsid w:val="36D7417C"/>
    <w:rsid w:val="390F1929"/>
    <w:rsid w:val="3B582F40"/>
    <w:rsid w:val="3B600EDF"/>
    <w:rsid w:val="3B7620DB"/>
    <w:rsid w:val="3F16320E"/>
    <w:rsid w:val="3FCE4307"/>
    <w:rsid w:val="417357B6"/>
    <w:rsid w:val="427D67EE"/>
    <w:rsid w:val="42FA782C"/>
    <w:rsid w:val="4481345C"/>
    <w:rsid w:val="45693A33"/>
    <w:rsid w:val="46FA4B57"/>
    <w:rsid w:val="474F177E"/>
    <w:rsid w:val="4890687F"/>
    <w:rsid w:val="4E6A4232"/>
    <w:rsid w:val="50375567"/>
    <w:rsid w:val="50E53526"/>
    <w:rsid w:val="53CF7E80"/>
    <w:rsid w:val="550105D4"/>
    <w:rsid w:val="55195389"/>
    <w:rsid w:val="570C42F6"/>
    <w:rsid w:val="57C079AF"/>
    <w:rsid w:val="5F6D662D"/>
    <w:rsid w:val="5F6F62AD"/>
    <w:rsid w:val="5FF44657"/>
    <w:rsid w:val="607971D7"/>
    <w:rsid w:val="6110462F"/>
    <w:rsid w:val="64247C01"/>
    <w:rsid w:val="646A677A"/>
    <w:rsid w:val="657917A0"/>
    <w:rsid w:val="67E5157A"/>
    <w:rsid w:val="687C4B7A"/>
    <w:rsid w:val="689A091C"/>
    <w:rsid w:val="69205211"/>
    <w:rsid w:val="6DF60B32"/>
    <w:rsid w:val="6FD43C3D"/>
    <w:rsid w:val="703B5679"/>
    <w:rsid w:val="70A06FAC"/>
    <w:rsid w:val="76A70FD1"/>
    <w:rsid w:val="77EF7146"/>
    <w:rsid w:val="79C114D8"/>
    <w:rsid w:val="7A014671"/>
    <w:rsid w:val="7A22584E"/>
    <w:rsid w:val="7BD26026"/>
    <w:rsid w:val="7F25793C"/>
    <w:rsid w:val="7FF86AF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basedOn w:val="7"/>
    <w:qFormat/>
    <w:uiPriority w:val="0"/>
    <w:rPr>
      <w:b/>
    </w:rPr>
  </w:style>
  <w:style w:type="character" w:customStyle="1" w:styleId="9">
    <w:name w:val="页眉 Char"/>
    <w:basedOn w:val="7"/>
    <w:link w:val="3"/>
    <w:qFormat/>
    <w:uiPriority w:val="99"/>
    <w:rPr>
      <w:sz w:val="18"/>
      <w:szCs w:val="18"/>
    </w:rPr>
  </w:style>
  <w:style w:type="character" w:customStyle="1" w:styleId="10">
    <w:name w:val="页脚 Char"/>
    <w:basedOn w:val="7"/>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195</Words>
  <Characters>1117</Characters>
  <Lines>9</Lines>
  <Paragraphs>2</Paragraphs>
  <TotalTime>16</TotalTime>
  <ScaleCrop>false</ScaleCrop>
  <LinksUpToDate>false</LinksUpToDate>
  <CharactersWithSpaces>1310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2018-05-21T02:25:00Z</dcterms:created>
  <dc:creator>Anonymous</dc:creator>
  <cp:lastModifiedBy>POFileMaker</cp:lastModifiedBy>
  <cp:lastPrinted>2021-05-17T01:06:21Z</cp:lastPrinted>
  <dcterms:modified xsi:type="dcterms:W3CDTF">2021-05-17T01:07:26Z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B01CA8257F0449F7981A0746B397F12C</vt:lpwstr>
  </property>
</Properties>
</file>